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2DF4" w14:textId="5ECD9724" w:rsidR="00D64283" w:rsidRDefault="00D64283" w:rsidP="00D64283">
      <w:r>
        <w:t>27 October 2021</w:t>
      </w:r>
    </w:p>
    <w:p w14:paraId="6E7EA647" w14:textId="77777777" w:rsidR="00D64283" w:rsidRDefault="00D64283" w:rsidP="00D64283"/>
    <w:p w14:paraId="327729A5" w14:textId="271BBF17" w:rsidR="00D64283" w:rsidRDefault="00D64283" w:rsidP="00D64283">
      <w:r>
        <w:t>The Honourable Josh Frydenberg MP Treasurer</w:t>
      </w:r>
    </w:p>
    <w:p w14:paraId="20857D47" w14:textId="77777777" w:rsidR="00D64283" w:rsidRDefault="00D64283" w:rsidP="00D64283">
      <w:r>
        <w:t>Parliament House</w:t>
      </w:r>
    </w:p>
    <w:p w14:paraId="3C23DA92" w14:textId="77777777" w:rsidR="00D64283" w:rsidRDefault="00D64283" w:rsidP="00D64283">
      <w:r>
        <w:t>Canberra ACT 2600</w:t>
      </w:r>
    </w:p>
    <w:p w14:paraId="4684DB58" w14:textId="77777777" w:rsidR="00D64283" w:rsidRDefault="00D64283" w:rsidP="00D64283"/>
    <w:p w14:paraId="71DFA3AB" w14:textId="77777777" w:rsidR="00D64283" w:rsidRDefault="00D64283" w:rsidP="00D64283"/>
    <w:p w14:paraId="14D111DD" w14:textId="2B96DC1F" w:rsidR="00016C79" w:rsidRDefault="00D64283" w:rsidP="00D64283">
      <w:r>
        <w:t>Dear Treasurer,</w:t>
      </w:r>
    </w:p>
    <w:p w14:paraId="1F21300C" w14:textId="77777777" w:rsidR="00201436" w:rsidRDefault="00201436" w:rsidP="00016C79"/>
    <w:p w14:paraId="57D815C4" w14:textId="505B8A21" w:rsidR="00201436" w:rsidRPr="00D64283" w:rsidRDefault="002543EE" w:rsidP="007840F1">
      <w:pPr>
        <w:jc w:val="center"/>
        <w:rPr>
          <w:b/>
          <w:bCs/>
        </w:rPr>
      </w:pPr>
      <w:r w:rsidRPr="00D64283">
        <w:rPr>
          <w:b/>
          <w:bCs/>
        </w:rPr>
        <w:t>Re: THE PERFORMANCE OF AIR AND MARITIME LOGISTICS SYSTEMS IN DELIVERING COMPETITIVE, AFFORDABLE AND RELIABLE SERVICE</w:t>
      </w:r>
    </w:p>
    <w:p w14:paraId="6B9CABCB" w14:textId="77777777" w:rsidR="00201436" w:rsidRDefault="00201436" w:rsidP="00016C79"/>
    <w:p w14:paraId="10B4E321" w14:textId="06B90CDF" w:rsidR="00016C79" w:rsidRPr="00F338B9" w:rsidRDefault="00016C79" w:rsidP="00016C79">
      <w:r>
        <w:t>We</w:t>
      </w:r>
      <w:r w:rsidR="00D329CC">
        <w:t xml:space="preserve"> are</w:t>
      </w:r>
      <w:r>
        <w:t xml:space="preserve"> a diverse range of </w:t>
      </w:r>
      <w:r w:rsidR="00CF5CA5">
        <w:t xml:space="preserve">stakeholders </w:t>
      </w:r>
      <w:r>
        <w:t>from across Australia,</w:t>
      </w:r>
      <w:r w:rsidR="00F46AFE">
        <w:t xml:space="preserve"> </w:t>
      </w:r>
      <w:r>
        <w:t xml:space="preserve">representing the interests of </w:t>
      </w:r>
      <w:r w:rsidR="00CB6CD5">
        <w:t>businesses involved in international trade</w:t>
      </w:r>
      <w:r w:rsidR="00EA10F5">
        <w:t>.</w:t>
      </w:r>
      <w:r w:rsidR="00CB6CD5" w:rsidRPr="00CB6CD5">
        <w:t xml:space="preserve"> </w:t>
      </w:r>
      <w:r w:rsidR="00A45140">
        <w:t>N</w:t>
      </w:r>
      <w:r w:rsidR="00A45140" w:rsidRPr="00A45140">
        <w:t>oting that most Australian businesses and the jobs they provide are connected in some way to</w:t>
      </w:r>
      <w:r w:rsidR="00AB60F3">
        <w:t xml:space="preserve"> the</w:t>
      </w:r>
      <w:r w:rsidR="00A45140" w:rsidRPr="00A45140">
        <w:t xml:space="preserve"> import/export trade</w:t>
      </w:r>
      <w:r w:rsidR="00A45140">
        <w:t>, we share a significant, direct, and growing awareness of the</w:t>
      </w:r>
      <w:r w:rsidR="00CC0476">
        <w:t xml:space="preserve"> negative</w:t>
      </w:r>
      <w:r w:rsidR="00A45140">
        <w:t xml:space="preserve"> impact</w:t>
      </w:r>
      <w:r w:rsidR="00CC0476">
        <w:t>s</w:t>
      </w:r>
      <w:r w:rsidR="00A45140">
        <w:t xml:space="preserve"> of the w</w:t>
      </w:r>
      <w:r w:rsidR="00A45140" w:rsidRPr="00CB6CD5">
        <w:t xml:space="preserve">orsening </w:t>
      </w:r>
      <w:r w:rsidR="00A45140" w:rsidRPr="00F338B9">
        <w:t xml:space="preserve">shipping </w:t>
      </w:r>
      <w:r w:rsidR="00901160" w:rsidRPr="00F338B9">
        <w:t xml:space="preserve">and airfreight </w:t>
      </w:r>
      <w:r w:rsidR="00A45140" w:rsidRPr="00F338B9">
        <w:t>crisis</w:t>
      </w:r>
      <w:r w:rsidR="00CC0476" w:rsidRPr="00F338B9">
        <w:t>.</w:t>
      </w:r>
    </w:p>
    <w:p w14:paraId="21A5AAAB" w14:textId="29E5AB2F" w:rsidR="00901160" w:rsidRPr="00F338B9" w:rsidRDefault="00901160" w:rsidP="002725B6">
      <w:r w:rsidRPr="00F338B9">
        <w:t>For sea</w:t>
      </w:r>
      <w:r w:rsidR="00E70C5D" w:rsidRPr="00F338B9">
        <w:t xml:space="preserve"> </w:t>
      </w:r>
      <w:r w:rsidRPr="00F338B9">
        <w:t>freight s</w:t>
      </w:r>
      <w:r w:rsidR="002725B6" w:rsidRPr="00F338B9">
        <w:t>upply chain delays and soaring consumer demand have led to shipping containers backing up at Australian and global ports, meaning inordinately long wait times for consumers and making it much more expensive for companies to ship their goods.</w:t>
      </w:r>
    </w:p>
    <w:p w14:paraId="50B25AB4" w14:textId="10097DBB" w:rsidR="00F338B9" w:rsidRDefault="00F338B9" w:rsidP="002725B6">
      <w:r w:rsidRPr="00F338B9">
        <w:t xml:space="preserve">Similar concerns, compounded by border closures, limited capacity and souring costs have also disrupted airfreight, </w:t>
      </w:r>
      <w:proofErr w:type="gramStart"/>
      <w:r w:rsidRPr="00F338B9">
        <w:t>delaying</w:t>
      </w:r>
      <w:proofErr w:type="gramEnd"/>
      <w:r w:rsidRPr="00F338B9">
        <w:t xml:space="preserve"> critical temperature-controlled medicines, diagnostics and devices and creating potentially life-threatening shortages. Although the IFAM has been a welcome solution for some instances, systemic challenges remain that need to be addressed in a review of Australia’s entire international logistics industry.</w:t>
      </w:r>
    </w:p>
    <w:p w14:paraId="63DD2A4F" w14:textId="4125581E" w:rsidR="002725B6" w:rsidRDefault="00C47CB6" w:rsidP="002725B6">
      <w:r>
        <w:t>These</w:t>
      </w:r>
      <w:r w:rsidR="002725B6">
        <w:t xml:space="preserve"> delays </w:t>
      </w:r>
      <w:r w:rsidR="00F82973">
        <w:t xml:space="preserve">are causing </w:t>
      </w:r>
      <w:r w:rsidR="002725B6">
        <w:t>cost trickle-down</w:t>
      </w:r>
      <w:r w:rsidR="00F82973">
        <w:t>,</w:t>
      </w:r>
      <w:r w:rsidR="002725B6">
        <w:t xml:space="preserve"> </w:t>
      </w:r>
      <w:r w:rsidR="00780962">
        <w:t>affecting</w:t>
      </w:r>
      <w:r w:rsidR="002725B6">
        <w:t xml:space="preserve"> a variety of </w:t>
      </w:r>
      <w:r>
        <w:t xml:space="preserve">imported </w:t>
      </w:r>
      <w:r w:rsidR="002725B6">
        <w:t xml:space="preserve">products, including food, </w:t>
      </w:r>
      <w:r w:rsidR="00901160">
        <w:t xml:space="preserve">urgent medicines and life-saving materials, </w:t>
      </w:r>
      <w:r w:rsidR="002725B6">
        <w:t>furniture, machinery, components, parts</w:t>
      </w:r>
      <w:r w:rsidR="00C44FE3">
        <w:t xml:space="preserve">, </w:t>
      </w:r>
      <w:r w:rsidR="00780962">
        <w:t>packaging,</w:t>
      </w:r>
      <w:r w:rsidR="002725B6">
        <w:t xml:space="preserve"> and clothing. On the export side</w:t>
      </w:r>
      <w:r w:rsidR="00F82973">
        <w:t>,</w:t>
      </w:r>
      <w:r w:rsidR="002725B6">
        <w:t xml:space="preserve"> the delay in sourcing space on vessels </w:t>
      </w:r>
      <w:r w:rsidR="00901160">
        <w:t xml:space="preserve">and aircraft </w:t>
      </w:r>
      <w:r w:rsidR="002725B6">
        <w:t xml:space="preserve">and the </w:t>
      </w:r>
      <w:r w:rsidR="00354642">
        <w:t xml:space="preserve">increasing </w:t>
      </w:r>
      <w:r w:rsidR="002725B6">
        <w:t xml:space="preserve">cost of freight rates </w:t>
      </w:r>
      <w:r w:rsidR="006411DA">
        <w:t>is</w:t>
      </w:r>
      <w:r w:rsidR="00781DBC">
        <w:t xml:space="preserve"> causing</w:t>
      </w:r>
      <w:r w:rsidR="002725B6">
        <w:t xml:space="preserve"> </w:t>
      </w:r>
      <w:r w:rsidR="006411DA">
        <w:t xml:space="preserve">foreign </w:t>
      </w:r>
      <w:r w:rsidR="002725B6">
        <w:t>buyers to</w:t>
      </w:r>
      <w:r w:rsidR="006411DA">
        <w:t xml:space="preserve"> look to</w:t>
      </w:r>
      <w:r w:rsidR="001A3722">
        <w:t xml:space="preserve"> alternative </w:t>
      </w:r>
      <w:r w:rsidR="002725B6">
        <w:t>suppliers closer to</w:t>
      </w:r>
      <w:r w:rsidR="001A3722">
        <w:t xml:space="preserve"> home.</w:t>
      </w:r>
      <w:r w:rsidR="002725B6">
        <w:t xml:space="preserve"> </w:t>
      </w:r>
      <w:r w:rsidR="001A3722">
        <w:t>U</w:t>
      </w:r>
      <w:r w:rsidR="00C44FE3">
        <w:t>ltimately</w:t>
      </w:r>
      <w:r w:rsidR="001A3722">
        <w:t>,</w:t>
      </w:r>
      <w:r w:rsidR="00C44FE3">
        <w:t xml:space="preserve"> Australian exporters</w:t>
      </w:r>
      <w:r w:rsidR="00780962">
        <w:t>,</w:t>
      </w:r>
      <w:r w:rsidR="00C44FE3">
        <w:t xml:space="preserve"> particularly in merchandise trade goods</w:t>
      </w:r>
      <w:r w:rsidR="000F3AED">
        <w:t xml:space="preserve"> are having to</w:t>
      </w:r>
      <w:r w:rsidR="00C44FE3">
        <w:t xml:space="preserve"> look to manufacture overseas to ensure their </w:t>
      </w:r>
      <w:r w:rsidR="00EC2A26">
        <w:t>ongoing viability</w:t>
      </w:r>
      <w:r w:rsidR="00C44FE3">
        <w:t>.</w:t>
      </w:r>
      <w:r w:rsidR="002725B6">
        <w:t xml:space="preserve"> </w:t>
      </w:r>
    </w:p>
    <w:p w14:paraId="23195A97" w14:textId="6B7E3095" w:rsidR="005E3243" w:rsidRDefault="00016C79" w:rsidP="00016C79">
      <w:r>
        <w:t>Australian</w:t>
      </w:r>
      <w:r w:rsidR="00CB6CD5">
        <w:t xml:space="preserve"> businesses </w:t>
      </w:r>
      <w:r w:rsidR="000F3AED">
        <w:t>affected</w:t>
      </w:r>
      <w:r w:rsidR="00CB6CD5">
        <w:t xml:space="preserve"> by this </w:t>
      </w:r>
      <w:r w:rsidR="00901160">
        <w:t xml:space="preserve">logistics </w:t>
      </w:r>
      <w:r w:rsidR="00CB6CD5">
        <w:t>crisis</w:t>
      </w:r>
      <w:r>
        <w:t xml:space="preserve"> represent some of </w:t>
      </w:r>
      <w:r w:rsidR="00AF3538">
        <w:t xml:space="preserve">our </w:t>
      </w:r>
      <w:r w:rsidR="00CB6CD5">
        <w:t xml:space="preserve">most important and </w:t>
      </w:r>
      <w:r w:rsidR="002725B6">
        <w:t xml:space="preserve">essential </w:t>
      </w:r>
      <w:r w:rsidR="00CB6CD5">
        <w:t>industries</w:t>
      </w:r>
      <w:r w:rsidR="00AF3538">
        <w:t>, however, the</w:t>
      </w:r>
      <w:r w:rsidR="007840F1">
        <w:t xml:space="preserve"> lengthy delay </w:t>
      </w:r>
      <w:r w:rsidR="00C44FE3">
        <w:t>by the Australian Government</w:t>
      </w:r>
      <w:r w:rsidR="007840F1">
        <w:t xml:space="preserve"> in </w:t>
      </w:r>
      <w:proofErr w:type="gramStart"/>
      <w:r w:rsidR="007840F1">
        <w:t>taking action</w:t>
      </w:r>
      <w:proofErr w:type="gramEnd"/>
      <w:r w:rsidR="00AF3538">
        <w:t xml:space="preserve">, </w:t>
      </w:r>
      <w:r w:rsidR="00CB6CD5">
        <w:t xml:space="preserve">will </w:t>
      </w:r>
      <w:r w:rsidR="009D1E66">
        <w:t xml:space="preserve">result </w:t>
      </w:r>
      <w:r w:rsidR="00CB6CD5">
        <w:t>in all Australians feeling the impact.</w:t>
      </w:r>
    </w:p>
    <w:p w14:paraId="4F3C6E82" w14:textId="440D18AC" w:rsidR="00D1662A" w:rsidRDefault="00D1662A" w:rsidP="00016C79">
      <w:r>
        <w:t xml:space="preserve">While we understand that there are many global factors at play which are largely out of Australia’s control, there are opportunities </w:t>
      </w:r>
      <w:r w:rsidR="00CA7C45">
        <w:t xml:space="preserve">to provide relief through focus on </w:t>
      </w:r>
      <w:r w:rsidR="00CA7C45" w:rsidRPr="00F338B9">
        <w:t xml:space="preserve">landside </w:t>
      </w:r>
      <w:r w:rsidR="00B76EAA" w:rsidRPr="00F338B9">
        <w:t>issues</w:t>
      </w:r>
      <w:r w:rsidR="00CA7C45" w:rsidRPr="00F338B9">
        <w:t xml:space="preserve"> such as </w:t>
      </w:r>
      <w:r w:rsidR="00A63454" w:rsidRPr="00F338B9">
        <w:t xml:space="preserve">modernisation of facilities, targeted domestic regulatory intervention, </w:t>
      </w:r>
      <w:r w:rsidR="00FF5C89" w:rsidRPr="00F338B9">
        <w:t>investment in skills</w:t>
      </w:r>
      <w:r w:rsidR="001B7020" w:rsidRPr="00F338B9">
        <w:t>, effective and expedient management of industrial action</w:t>
      </w:r>
      <w:r w:rsidR="00FF5C89" w:rsidRPr="00F338B9">
        <w:t xml:space="preserve"> </w:t>
      </w:r>
      <w:r w:rsidR="005C7278" w:rsidRPr="00F338B9">
        <w:t>as well as</w:t>
      </w:r>
      <w:r w:rsidR="00FF5C89" w:rsidRPr="00F338B9">
        <w:t xml:space="preserve"> </w:t>
      </w:r>
      <w:r w:rsidR="004E3848" w:rsidRPr="00F338B9">
        <w:t>initiatives and/or support programs</w:t>
      </w:r>
      <w:r w:rsidRPr="00F338B9">
        <w:t xml:space="preserve"> </w:t>
      </w:r>
      <w:r w:rsidR="004E3848" w:rsidRPr="00F338B9">
        <w:t xml:space="preserve">that </w:t>
      </w:r>
      <w:r w:rsidR="009D3B30" w:rsidRPr="00F338B9">
        <w:t>stimulate</w:t>
      </w:r>
      <w:r w:rsidR="004E3848" w:rsidRPr="00F338B9">
        <w:t xml:space="preserve"> </w:t>
      </w:r>
      <w:r w:rsidR="007E643F" w:rsidRPr="00F338B9">
        <w:t>competition in the freight industry, supporting infrastructure and</w:t>
      </w:r>
      <w:r w:rsidR="007E643F" w:rsidRPr="007E643F">
        <w:t xml:space="preserve"> supply chains.</w:t>
      </w:r>
    </w:p>
    <w:p w14:paraId="17328622" w14:textId="257D03F1" w:rsidR="00DB2A46" w:rsidRDefault="00016C79" w:rsidP="00016C79">
      <w:r>
        <w:lastRenderedPageBreak/>
        <w:t>We are deeply concerned by the lack of specific and targeted measures</w:t>
      </w:r>
      <w:r w:rsidR="00F46AFE">
        <w:t xml:space="preserve"> </w:t>
      </w:r>
      <w:r>
        <w:t xml:space="preserve">from Australian Government to proactively protect and support </w:t>
      </w:r>
      <w:r w:rsidR="00CB6CD5">
        <w:t>businesses</w:t>
      </w:r>
      <w:r w:rsidR="00035500">
        <w:t>.</w:t>
      </w:r>
      <w:r>
        <w:t xml:space="preserve"> </w:t>
      </w:r>
      <w:r w:rsidR="00DB2A46">
        <w:t xml:space="preserve">We request a meeting with representatives from the ministries of Treasury, Infrastructure, </w:t>
      </w:r>
      <w:proofErr w:type="gramStart"/>
      <w:r w:rsidR="00DB2A46">
        <w:t>Trade</w:t>
      </w:r>
      <w:proofErr w:type="gramEnd"/>
      <w:r w:rsidR="00DB2A46">
        <w:t xml:space="preserve"> and Industry to pursue a plan of action. We have taken the initiative to draft Terms of Reference for a review of Australia’s Air and Maritime Logistics services and include them at the end of this letter.  </w:t>
      </w:r>
    </w:p>
    <w:p w14:paraId="09E3BDFA" w14:textId="25D282C9" w:rsidR="00DB2A46" w:rsidRPr="00DB2A46" w:rsidRDefault="00DB2A46" w:rsidP="00DB2A46">
      <w:r>
        <w:t>We</w:t>
      </w:r>
      <w:r w:rsidRPr="00DB2A46">
        <w:t xml:space="preserve"> would welcome the opportunity to discuss the matter further with you.</w:t>
      </w:r>
      <w:r w:rsidR="004348EF">
        <w:t xml:space="preserve"> </w:t>
      </w:r>
      <w:r w:rsidR="00865EEC">
        <w:t xml:space="preserve">Thirty Industry Associations were consulted in the drafting of this letter and the Terms of Refence, they are listed below. </w:t>
      </w:r>
      <w:r w:rsidRPr="00DB2A46">
        <w:t xml:space="preserve">The policy contact for this matter is </w:t>
      </w:r>
      <w:r>
        <w:t xml:space="preserve">Louise McGrath, Head of Industry Development and Policy at the Australian Industry Group, email </w:t>
      </w:r>
      <w:hyperlink r:id="rId5" w:history="1">
        <w:r w:rsidRPr="00421BBA">
          <w:rPr>
            <w:rStyle w:val="Hyperlink"/>
          </w:rPr>
          <w:t>louise.mcgrath@aigroup.com.au</w:t>
        </w:r>
      </w:hyperlink>
      <w:r>
        <w:t xml:space="preserve"> , phone: 0419527718</w:t>
      </w:r>
      <w:r w:rsidR="00CB3ADA">
        <w:t>.</w:t>
      </w:r>
      <w:r w:rsidR="0041640A">
        <w:t xml:space="preserve"> </w:t>
      </w:r>
    </w:p>
    <w:p w14:paraId="15C9283C" w14:textId="77777777" w:rsidR="008D5A5B" w:rsidRDefault="008D5A5B" w:rsidP="008D5A5B"/>
    <w:p w14:paraId="61194842" w14:textId="77777777" w:rsidR="008D5A5B" w:rsidRDefault="008D5A5B" w:rsidP="008D5A5B">
      <w:r>
        <w:t>Yours sincerely</w:t>
      </w:r>
    </w:p>
    <w:p w14:paraId="21F5EA3D" w14:textId="77777777" w:rsidR="008D5A5B" w:rsidRDefault="008D5A5B" w:rsidP="008D5A5B"/>
    <w:p w14:paraId="7227ECF7" w14:textId="77777777" w:rsidR="008D5A5B" w:rsidRDefault="008D5A5B" w:rsidP="008D5A5B"/>
    <w:p w14:paraId="00BAB286" w14:textId="77777777" w:rsidR="008D5A5B" w:rsidRPr="006B651B" w:rsidRDefault="008D5A5B" w:rsidP="008D5A5B">
      <w:pPr>
        <w:rPr>
          <w:b/>
          <w:bCs/>
        </w:rPr>
      </w:pPr>
      <w:r w:rsidRPr="006B651B">
        <w:rPr>
          <w:b/>
          <w:bCs/>
        </w:rPr>
        <w:t>Innes Willox</w:t>
      </w:r>
    </w:p>
    <w:p w14:paraId="155F7CA6" w14:textId="77777777" w:rsidR="008D5A5B" w:rsidRDefault="008D5A5B" w:rsidP="008D5A5B">
      <w:r>
        <w:t xml:space="preserve">Chief Executive </w:t>
      </w:r>
    </w:p>
    <w:p w14:paraId="43EC8E4E" w14:textId="651C3215" w:rsidR="006B5B0D" w:rsidRDefault="006B5B0D" w:rsidP="00016C79">
      <w:pPr>
        <w:rPr>
          <w:b/>
          <w:bCs/>
        </w:rPr>
      </w:pPr>
    </w:p>
    <w:p w14:paraId="05BA311D" w14:textId="52FAE513" w:rsidR="006B5B0D" w:rsidRDefault="006B5B0D" w:rsidP="00016C79">
      <w:pPr>
        <w:rPr>
          <w:b/>
          <w:bCs/>
        </w:rPr>
      </w:pPr>
    </w:p>
    <w:p w14:paraId="7E32E4F0" w14:textId="0185BFA1" w:rsidR="006B5B0D" w:rsidRDefault="006B5B0D" w:rsidP="00016C79">
      <w:pPr>
        <w:rPr>
          <w:b/>
          <w:bCs/>
        </w:rPr>
      </w:pPr>
    </w:p>
    <w:p w14:paraId="03154175" w14:textId="617CE14C" w:rsidR="006B5B0D" w:rsidRDefault="006B5B0D" w:rsidP="00016C79">
      <w:pPr>
        <w:rPr>
          <w:b/>
          <w:bCs/>
        </w:rPr>
      </w:pPr>
    </w:p>
    <w:p w14:paraId="0EDC0401" w14:textId="299247FF" w:rsidR="006B5B0D" w:rsidRDefault="006B5B0D" w:rsidP="00016C79">
      <w:pPr>
        <w:rPr>
          <w:b/>
          <w:bCs/>
        </w:rPr>
      </w:pPr>
    </w:p>
    <w:p w14:paraId="6BE0CCDD" w14:textId="2A202236" w:rsidR="006B5B0D" w:rsidRDefault="006B5B0D" w:rsidP="00016C79">
      <w:pPr>
        <w:rPr>
          <w:b/>
          <w:bCs/>
        </w:rPr>
      </w:pPr>
    </w:p>
    <w:p w14:paraId="2DCD490F" w14:textId="37789D51" w:rsidR="006B5B0D" w:rsidRDefault="006B5B0D" w:rsidP="00016C79">
      <w:pPr>
        <w:rPr>
          <w:b/>
          <w:bCs/>
        </w:rPr>
      </w:pPr>
    </w:p>
    <w:p w14:paraId="2937F03D" w14:textId="62081665" w:rsidR="006B5B0D" w:rsidRDefault="006B5B0D" w:rsidP="00016C79">
      <w:pPr>
        <w:rPr>
          <w:b/>
          <w:bCs/>
        </w:rPr>
      </w:pPr>
    </w:p>
    <w:p w14:paraId="6B501068" w14:textId="79925F50" w:rsidR="006B5B0D" w:rsidRDefault="006B5B0D" w:rsidP="00016C79">
      <w:pPr>
        <w:rPr>
          <w:b/>
          <w:bCs/>
        </w:rPr>
      </w:pPr>
    </w:p>
    <w:p w14:paraId="7F5F71E0" w14:textId="0BA09B49" w:rsidR="006B5B0D" w:rsidRDefault="006B5B0D" w:rsidP="00016C79">
      <w:pPr>
        <w:rPr>
          <w:b/>
          <w:bCs/>
        </w:rPr>
      </w:pPr>
    </w:p>
    <w:p w14:paraId="2B71EB34" w14:textId="4C58FFC2" w:rsidR="006B5B0D" w:rsidRDefault="006B5B0D" w:rsidP="00016C79">
      <w:pPr>
        <w:rPr>
          <w:b/>
          <w:bCs/>
        </w:rPr>
      </w:pPr>
    </w:p>
    <w:p w14:paraId="0D589577" w14:textId="1A6A9D7F" w:rsidR="006B5B0D" w:rsidRDefault="006B5B0D" w:rsidP="00016C79">
      <w:pPr>
        <w:rPr>
          <w:b/>
          <w:bCs/>
        </w:rPr>
      </w:pPr>
    </w:p>
    <w:p w14:paraId="0728CB82" w14:textId="431400CF" w:rsidR="006B5B0D" w:rsidRDefault="006B5B0D" w:rsidP="00016C79">
      <w:pPr>
        <w:rPr>
          <w:b/>
          <w:bCs/>
        </w:rPr>
      </w:pPr>
    </w:p>
    <w:p w14:paraId="716FE315" w14:textId="6C678D52" w:rsidR="006B5B0D" w:rsidRDefault="006B5B0D" w:rsidP="00016C79">
      <w:pPr>
        <w:rPr>
          <w:b/>
          <w:bCs/>
        </w:rPr>
      </w:pPr>
    </w:p>
    <w:p w14:paraId="5BA563D2" w14:textId="72F351D1" w:rsidR="006B5B0D" w:rsidRDefault="006B5B0D" w:rsidP="00016C79">
      <w:pPr>
        <w:rPr>
          <w:b/>
          <w:bCs/>
        </w:rPr>
      </w:pPr>
    </w:p>
    <w:p w14:paraId="7B96B9A8" w14:textId="605D5040" w:rsidR="006B5B0D" w:rsidRDefault="006B5B0D" w:rsidP="00016C79">
      <w:pPr>
        <w:rPr>
          <w:b/>
          <w:bCs/>
        </w:rPr>
      </w:pPr>
    </w:p>
    <w:p w14:paraId="76DC8894" w14:textId="05709419" w:rsidR="006B5B0D" w:rsidRDefault="006B5B0D" w:rsidP="00016C79">
      <w:pPr>
        <w:rPr>
          <w:b/>
          <w:bCs/>
        </w:rPr>
      </w:pPr>
    </w:p>
    <w:p w14:paraId="4AEE4026" w14:textId="311FCD12" w:rsidR="006B5B0D" w:rsidRDefault="006B5B0D" w:rsidP="00016C79">
      <w:pPr>
        <w:rPr>
          <w:b/>
          <w:bCs/>
        </w:rPr>
      </w:pPr>
    </w:p>
    <w:p w14:paraId="1F1B203F" w14:textId="77777777" w:rsidR="00201436" w:rsidRDefault="00201436" w:rsidP="00F46AFE">
      <w:pPr>
        <w:spacing w:after="0" w:line="240" w:lineRule="auto"/>
        <w:jc w:val="center"/>
        <w:rPr>
          <w:rFonts w:ascii="Georgia Pro" w:eastAsia="Calibri" w:hAnsi="Georgia Pro" w:cs="Arial"/>
          <w:b/>
          <w:sz w:val="24"/>
          <w:szCs w:val="24"/>
          <w:lang w:val="en-GB"/>
        </w:rPr>
      </w:pPr>
    </w:p>
    <w:p w14:paraId="432BA1F8" w14:textId="28A6B930" w:rsidR="00F46AFE" w:rsidRPr="007840F1" w:rsidRDefault="00F46AFE" w:rsidP="00F46AFE">
      <w:pPr>
        <w:spacing w:after="0" w:line="240" w:lineRule="auto"/>
        <w:jc w:val="center"/>
        <w:rPr>
          <w:rFonts w:eastAsia="Calibri" w:cstheme="minorHAnsi"/>
          <w:b/>
          <w:sz w:val="24"/>
          <w:szCs w:val="24"/>
          <w:lang w:val="en-GB"/>
        </w:rPr>
      </w:pPr>
      <w:r w:rsidRPr="007840F1">
        <w:rPr>
          <w:rFonts w:eastAsia="Calibri" w:cstheme="minorHAnsi"/>
          <w:b/>
          <w:sz w:val="24"/>
          <w:szCs w:val="24"/>
          <w:lang w:val="en-GB"/>
        </w:rPr>
        <w:t>TERMS OF REFERENCE</w:t>
      </w:r>
    </w:p>
    <w:p w14:paraId="7BF18CEC" w14:textId="77777777" w:rsidR="00F46AFE" w:rsidRPr="007840F1" w:rsidRDefault="00F46AFE" w:rsidP="00F46AFE">
      <w:pPr>
        <w:spacing w:after="0" w:line="240" w:lineRule="auto"/>
        <w:rPr>
          <w:rFonts w:eastAsia="Calibri" w:cstheme="minorHAnsi"/>
          <w:sz w:val="24"/>
          <w:szCs w:val="24"/>
          <w:lang w:val="en-GB"/>
        </w:rPr>
      </w:pPr>
    </w:p>
    <w:p w14:paraId="7CB824CE" w14:textId="77777777" w:rsidR="00F46AFE" w:rsidRPr="007840F1" w:rsidRDefault="00F46AFE" w:rsidP="00F46AFE">
      <w:pPr>
        <w:spacing w:after="0" w:line="240" w:lineRule="auto"/>
        <w:rPr>
          <w:rFonts w:eastAsia="Calibri" w:cstheme="minorHAnsi"/>
          <w:b/>
          <w:sz w:val="24"/>
          <w:szCs w:val="24"/>
          <w:lang w:val="en-GB"/>
        </w:rPr>
      </w:pPr>
      <w:r w:rsidRPr="007840F1">
        <w:rPr>
          <w:rFonts w:eastAsia="Calibri" w:cstheme="minorHAnsi"/>
          <w:b/>
          <w:sz w:val="24"/>
          <w:szCs w:val="24"/>
          <w:lang w:val="en-GB"/>
        </w:rPr>
        <w:t>THE PERFORMANCE OF AIR AND MARITIME LOGISTICS SYSTEMS IN DELIVERING COMPETITIVE, AFFORDABLE AND RELIABLE SERVICE</w:t>
      </w:r>
    </w:p>
    <w:p w14:paraId="3F68E268" w14:textId="77777777" w:rsidR="00F46AFE" w:rsidRPr="007840F1" w:rsidRDefault="00F46AFE" w:rsidP="00F46AFE">
      <w:pPr>
        <w:spacing w:after="0" w:line="240" w:lineRule="auto"/>
        <w:rPr>
          <w:rFonts w:eastAsia="Calibri" w:cstheme="minorHAnsi"/>
          <w:sz w:val="24"/>
          <w:szCs w:val="24"/>
          <w:lang w:val="en-GB"/>
        </w:rPr>
      </w:pPr>
    </w:p>
    <w:p w14:paraId="35C27517" w14:textId="77777777" w:rsidR="00F46AFE" w:rsidRPr="007840F1" w:rsidRDefault="00F46AFE" w:rsidP="00F46AFE">
      <w:pPr>
        <w:spacing w:after="0" w:line="240" w:lineRule="auto"/>
        <w:rPr>
          <w:rFonts w:eastAsia="Calibri" w:cstheme="minorHAnsi"/>
          <w:color w:val="000000"/>
          <w:sz w:val="24"/>
          <w:szCs w:val="24"/>
          <w:lang w:val="en-GB"/>
        </w:rPr>
      </w:pPr>
    </w:p>
    <w:p w14:paraId="0012CDE0" w14:textId="77777777" w:rsidR="00F46AFE" w:rsidRPr="007840F1" w:rsidRDefault="00F46AFE" w:rsidP="00F46AFE">
      <w:pPr>
        <w:spacing w:after="0" w:line="240" w:lineRule="auto"/>
        <w:rPr>
          <w:rFonts w:eastAsia="Times New Roman" w:cstheme="minorHAnsi"/>
          <w:color w:val="000000"/>
          <w:spacing w:val="6"/>
          <w:sz w:val="24"/>
          <w:szCs w:val="24"/>
        </w:rPr>
      </w:pPr>
      <w:r w:rsidRPr="007840F1">
        <w:rPr>
          <w:rFonts w:eastAsia="Times New Roman" w:cstheme="minorHAnsi"/>
          <w:color w:val="000000"/>
          <w:spacing w:val="6"/>
          <w:sz w:val="24"/>
          <w:szCs w:val="24"/>
        </w:rPr>
        <w:t xml:space="preserve">The Taskforce should examine the efficiency and dependability of the air and maritime logistics system (including air and sea freight, container terminal operators and stevedoring, and landside freight providers) to deliver the required services for Australia.  Considering the impact of the current air and sea freight crisis as well as the complexity and broad-ranging nature of the issues, it may be prudent to release a preliminary report at three months and a second report at six months. </w:t>
      </w:r>
    </w:p>
    <w:p w14:paraId="6C70A7AB" w14:textId="77777777" w:rsidR="00F46AFE" w:rsidRPr="007840F1" w:rsidRDefault="00F46AFE" w:rsidP="00F46AFE">
      <w:pPr>
        <w:spacing w:after="0" w:line="240" w:lineRule="auto"/>
        <w:rPr>
          <w:rFonts w:eastAsia="Times New Roman" w:cstheme="minorHAnsi"/>
          <w:color w:val="000000"/>
          <w:spacing w:val="6"/>
          <w:sz w:val="24"/>
          <w:szCs w:val="24"/>
        </w:rPr>
      </w:pPr>
    </w:p>
    <w:p w14:paraId="38DD4C26" w14:textId="77777777" w:rsidR="00F46AFE" w:rsidRPr="007840F1" w:rsidRDefault="00F46AFE" w:rsidP="00F46AFE">
      <w:pPr>
        <w:spacing w:after="0" w:line="240" w:lineRule="auto"/>
        <w:rPr>
          <w:rFonts w:eastAsia="Times New Roman" w:cstheme="minorHAnsi"/>
          <w:color w:val="000000"/>
          <w:spacing w:val="6"/>
          <w:sz w:val="24"/>
          <w:szCs w:val="24"/>
        </w:rPr>
      </w:pPr>
      <w:r w:rsidRPr="007840F1">
        <w:rPr>
          <w:rFonts w:eastAsia="Times New Roman" w:cstheme="minorHAnsi"/>
          <w:color w:val="000000"/>
          <w:spacing w:val="6"/>
          <w:sz w:val="24"/>
          <w:szCs w:val="24"/>
        </w:rPr>
        <w:t xml:space="preserve">The Taskforce should be led by two Chairs. One with broad industry experience and the second with policy and regulatory expertise. The Chairs should be supported by a secretariat from the Department of Infrastructure and Transport. </w:t>
      </w:r>
    </w:p>
    <w:p w14:paraId="1CBF2D31" w14:textId="77777777" w:rsidR="00F46AFE" w:rsidRPr="007840F1" w:rsidRDefault="00F46AFE" w:rsidP="00F46AFE">
      <w:pPr>
        <w:spacing w:after="0" w:line="240" w:lineRule="auto"/>
        <w:rPr>
          <w:rFonts w:eastAsia="Times New Roman" w:cstheme="minorHAnsi"/>
          <w:color w:val="000000"/>
          <w:spacing w:val="6"/>
          <w:sz w:val="24"/>
          <w:szCs w:val="24"/>
        </w:rPr>
      </w:pPr>
    </w:p>
    <w:p w14:paraId="6D356D0A" w14:textId="77777777" w:rsidR="00F46AFE" w:rsidRPr="007840F1" w:rsidRDefault="00F46AFE" w:rsidP="00F46AFE">
      <w:pPr>
        <w:spacing w:after="0" w:line="240" w:lineRule="auto"/>
        <w:rPr>
          <w:rFonts w:eastAsia="Times New Roman" w:cstheme="minorHAnsi"/>
          <w:color w:val="000000"/>
          <w:spacing w:val="6"/>
          <w:sz w:val="24"/>
          <w:szCs w:val="24"/>
        </w:rPr>
      </w:pPr>
      <w:r w:rsidRPr="007840F1">
        <w:rPr>
          <w:rFonts w:eastAsia="Times New Roman" w:cstheme="minorHAnsi"/>
          <w:color w:val="000000"/>
          <w:spacing w:val="6"/>
          <w:sz w:val="24"/>
          <w:szCs w:val="24"/>
        </w:rPr>
        <w:t>The Taskforce should undertake the following:</w:t>
      </w:r>
    </w:p>
    <w:p w14:paraId="35A51A56" w14:textId="77777777" w:rsidR="00F46AFE" w:rsidRPr="007840F1" w:rsidRDefault="00F46AFE" w:rsidP="00F46AFE">
      <w:pPr>
        <w:spacing w:after="0" w:line="240" w:lineRule="auto"/>
        <w:rPr>
          <w:rFonts w:eastAsia="Times New Roman" w:cstheme="minorHAnsi"/>
          <w:color w:val="000000"/>
          <w:spacing w:val="6"/>
          <w:sz w:val="24"/>
          <w:szCs w:val="24"/>
        </w:rPr>
      </w:pPr>
    </w:p>
    <w:p w14:paraId="19F018E8" w14:textId="77777777" w:rsidR="00F46AFE" w:rsidRPr="007840F1" w:rsidRDefault="00F46AFE" w:rsidP="00F46AFE">
      <w:pPr>
        <w:numPr>
          <w:ilvl w:val="0"/>
          <w:numId w:val="1"/>
        </w:numPr>
        <w:spacing w:before="100" w:after="0" w:line="240" w:lineRule="auto"/>
        <w:rPr>
          <w:rFonts w:eastAsia="Times New Roman" w:cstheme="minorHAnsi"/>
          <w:color w:val="000000"/>
          <w:sz w:val="24"/>
          <w:szCs w:val="24"/>
          <w:lang w:val="en-GB"/>
        </w:rPr>
      </w:pPr>
      <w:r w:rsidRPr="007840F1">
        <w:rPr>
          <w:rFonts w:eastAsia="Times New Roman" w:cstheme="minorHAnsi"/>
          <w:color w:val="000000"/>
          <w:sz w:val="24"/>
          <w:szCs w:val="24"/>
          <w:lang w:val="en-GB"/>
        </w:rPr>
        <w:t>Review the level of market competition and examine firm-level market conduct of domestic and international firms in the freight industry</w:t>
      </w:r>
      <w:r w:rsidRPr="007840F1">
        <w:rPr>
          <w:rFonts w:eastAsia="Times New Roman" w:cstheme="minorHAnsi"/>
          <w:color w:val="7030A0"/>
          <w:sz w:val="24"/>
          <w:szCs w:val="24"/>
          <w:lang w:val="en-GB"/>
        </w:rPr>
        <w:t>.</w:t>
      </w:r>
      <w:r w:rsidRPr="007840F1">
        <w:rPr>
          <w:rFonts w:eastAsia="Times New Roman" w:cstheme="minorHAnsi"/>
          <w:color w:val="000000"/>
          <w:sz w:val="24"/>
          <w:szCs w:val="24"/>
          <w:lang w:val="en-GB"/>
        </w:rPr>
        <w:t> </w:t>
      </w:r>
    </w:p>
    <w:p w14:paraId="2AF83095" w14:textId="77777777" w:rsidR="00F46AFE" w:rsidRPr="007840F1" w:rsidRDefault="00F46AFE" w:rsidP="00F46AFE">
      <w:pPr>
        <w:numPr>
          <w:ilvl w:val="0"/>
          <w:numId w:val="1"/>
        </w:numPr>
        <w:spacing w:before="100" w:after="0" w:line="240" w:lineRule="auto"/>
        <w:rPr>
          <w:rFonts w:eastAsia="Times New Roman" w:cstheme="minorHAnsi"/>
          <w:sz w:val="24"/>
          <w:szCs w:val="24"/>
          <w:lang w:val="en-GB"/>
        </w:rPr>
      </w:pPr>
      <w:r w:rsidRPr="007840F1">
        <w:rPr>
          <w:rFonts w:eastAsia="Times New Roman" w:cstheme="minorHAnsi"/>
          <w:color w:val="000000"/>
          <w:sz w:val="24"/>
          <w:szCs w:val="24"/>
          <w:lang w:val="en-GB"/>
        </w:rPr>
        <w:t>Assess the market constraints of international freight supply chains, especially as it relates to belly, bulk and containerised air and sea freight and routes to and from Australia. </w:t>
      </w:r>
    </w:p>
    <w:p w14:paraId="0E6C95BB" w14:textId="77777777" w:rsidR="00F46AFE" w:rsidRPr="007840F1" w:rsidRDefault="00F46AFE" w:rsidP="00F46AFE">
      <w:pPr>
        <w:numPr>
          <w:ilvl w:val="0"/>
          <w:numId w:val="1"/>
        </w:numPr>
        <w:spacing w:before="100" w:after="0" w:line="240" w:lineRule="auto"/>
        <w:rPr>
          <w:rFonts w:eastAsia="Times New Roman" w:cstheme="minorHAnsi"/>
          <w:sz w:val="24"/>
          <w:szCs w:val="24"/>
          <w:lang w:val="en-GB"/>
        </w:rPr>
      </w:pPr>
      <w:r w:rsidRPr="007840F1">
        <w:rPr>
          <w:rFonts w:eastAsia="Times New Roman" w:cstheme="minorHAnsi"/>
          <w:color w:val="000000"/>
          <w:sz w:val="24"/>
          <w:szCs w:val="24"/>
          <w:lang w:val="en-GB"/>
        </w:rPr>
        <w:t>Drawing on case studies, assess the cost of delays, uncertainty, increased freight costs and cancellation of sailings and flights on exporters and importers, as well as the</w:t>
      </w:r>
      <w:r w:rsidRPr="007840F1">
        <w:rPr>
          <w:rFonts w:eastAsia="Times New Roman" w:cstheme="minorHAnsi"/>
          <w:color w:val="C00000"/>
          <w:sz w:val="24"/>
          <w:szCs w:val="24"/>
          <w:lang w:val="en-GB"/>
        </w:rPr>
        <w:t> </w:t>
      </w:r>
      <w:r w:rsidRPr="007840F1">
        <w:rPr>
          <w:rFonts w:eastAsia="Times New Roman" w:cstheme="minorHAnsi"/>
          <w:color w:val="000000"/>
          <w:sz w:val="24"/>
          <w:szCs w:val="24"/>
          <w:lang w:val="en-GB"/>
        </w:rPr>
        <w:t>broader economic impact on Australian consumers and industries/businesses.</w:t>
      </w:r>
      <w:r w:rsidRPr="007840F1">
        <w:rPr>
          <w:rFonts w:eastAsia="Times New Roman" w:cstheme="minorHAnsi"/>
          <w:color w:val="7030A0"/>
          <w:sz w:val="24"/>
          <w:szCs w:val="24"/>
          <w:lang w:val="en-GB"/>
        </w:rPr>
        <w:t>  </w:t>
      </w:r>
    </w:p>
    <w:p w14:paraId="76B8D2FD" w14:textId="614F6630" w:rsidR="00F46AFE" w:rsidRPr="007840F1" w:rsidRDefault="00F46AFE" w:rsidP="00F46AFE">
      <w:pPr>
        <w:numPr>
          <w:ilvl w:val="0"/>
          <w:numId w:val="1"/>
        </w:numPr>
        <w:spacing w:before="100" w:after="0" w:line="240" w:lineRule="auto"/>
        <w:rPr>
          <w:rFonts w:eastAsia="Times New Roman" w:cstheme="minorHAnsi"/>
          <w:sz w:val="24"/>
          <w:szCs w:val="24"/>
          <w:lang w:val="en-GB"/>
        </w:rPr>
      </w:pPr>
      <w:r w:rsidRPr="007840F1">
        <w:rPr>
          <w:rFonts w:eastAsia="Times New Roman" w:cstheme="minorHAnsi"/>
          <w:color w:val="000000"/>
          <w:sz w:val="24"/>
          <w:szCs w:val="24"/>
          <w:lang w:val="en-GB"/>
        </w:rPr>
        <w:t>Examine the effectiveness of current arrangements and structures in the marketplace, so that all parties/stakeholders </w:t>
      </w:r>
      <w:r w:rsidR="00780962" w:rsidRPr="007840F1">
        <w:rPr>
          <w:rFonts w:eastAsia="Times New Roman" w:cstheme="minorHAnsi"/>
          <w:color w:val="000000"/>
          <w:sz w:val="24"/>
          <w:szCs w:val="24"/>
          <w:lang w:val="en-GB"/>
        </w:rPr>
        <w:t>can</w:t>
      </w:r>
      <w:r w:rsidRPr="007840F1">
        <w:rPr>
          <w:rFonts w:eastAsia="Times New Roman" w:cstheme="minorHAnsi"/>
          <w:color w:val="000000"/>
          <w:sz w:val="24"/>
          <w:szCs w:val="24"/>
          <w:lang w:val="en-GB"/>
        </w:rPr>
        <w:t> communicate information effectively and </w:t>
      </w:r>
      <w:r w:rsidR="00780962" w:rsidRPr="007840F1">
        <w:rPr>
          <w:rFonts w:eastAsia="Times New Roman" w:cstheme="minorHAnsi"/>
          <w:color w:val="000000"/>
          <w:sz w:val="24"/>
          <w:szCs w:val="24"/>
          <w:lang w:val="en-GB"/>
        </w:rPr>
        <w:t>efficiently and</w:t>
      </w:r>
      <w:r w:rsidRPr="007840F1">
        <w:rPr>
          <w:rFonts w:eastAsia="Times New Roman" w:cstheme="minorHAnsi"/>
          <w:color w:val="000000"/>
          <w:sz w:val="24"/>
          <w:szCs w:val="24"/>
          <w:lang w:val="en-GB"/>
        </w:rPr>
        <w:t> make informed decisions.</w:t>
      </w:r>
    </w:p>
    <w:p w14:paraId="2B832C9F" w14:textId="77777777" w:rsidR="00F46AFE" w:rsidRPr="007840F1" w:rsidRDefault="00F46AFE" w:rsidP="00F46AFE">
      <w:pPr>
        <w:numPr>
          <w:ilvl w:val="0"/>
          <w:numId w:val="1"/>
        </w:numPr>
        <w:spacing w:before="100" w:after="0" w:line="240" w:lineRule="auto"/>
        <w:rPr>
          <w:rFonts w:eastAsia="Times New Roman" w:cstheme="minorHAnsi"/>
          <w:sz w:val="24"/>
          <w:szCs w:val="24"/>
          <w:lang w:val="en-GB"/>
        </w:rPr>
      </w:pPr>
      <w:r w:rsidRPr="007840F1">
        <w:rPr>
          <w:rFonts w:eastAsia="Times New Roman" w:cstheme="minorHAnsi"/>
          <w:color w:val="000000"/>
          <w:sz w:val="24"/>
          <w:szCs w:val="24"/>
          <w:lang w:val="en-GB"/>
        </w:rPr>
        <w:t>Determine complementary activities and reforms in port services (air and sea) to ensure increased activities by shipping and airlines are appropriately accommodated.</w:t>
      </w:r>
    </w:p>
    <w:p w14:paraId="62539B36" w14:textId="77777777" w:rsidR="00F46AFE" w:rsidRPr="007840F1" w:rsidRDefault="00F46AFE" w:rsidP="00F46AFE">
      <w:pPr>
        <w:numPr>
          <w:ilvl w:val="0"/>
          <w:numId w:val="1"/>
        </w:numPr>
        <w:spacing w:before="100" w:after="0" w:line="240" w:lineRule="auto"/>
        <w:rPr>
          <w:rFonts w:eastAsia="Times New Roman" w:cstheme="minorHAnsi"/>
          <w:sz w:val="24"/>
          <w:szCs w:val="24"/>
          <w:lang w:val="en-GB"/>
        </w:rPr>
      </w:pPr>
      <w:r w:rsidRPr="007840F1">
        <w:rPr>
          <w:rFonts w:eastAsia="Times New Roman" w:cstheme="minorHAnsi"/>
          <w:color w:val="000000"/>
          <w:sz w:val="24"/>
          <w:szCs w:val="24"/>
          <w:lang w:val="en-GB"/>
        </w:rPr>
        <w:t>Identify potential initiatives and/or support programs that would promote increased competition in the freight industry, supporting infrastructure and supply chains.</w:t>
      </w:r>
    </w:p>
    <w:p w14:paraId="3C766373" w14:textId="77777777" w:rsidR="00F46AFE" w:rsidRPr="007840F1" w:rsidRDefault="00F46AFE" w:rsidP="00F46AFE">
      <w:pPr>
        <w:spacing w:after="0" w:line="240" w:lineRule="auto"/>
        <w:rPr>
          <w:rFonts w:eastAsia="Times New Roman" w:cstheme="minorHAnsi"/>
          <w:color w:val="000000"/>
          <w:spacing w:val="6"/>
          <w:sz w:val="24"/>
          <w:szCs w:val="24"/>
        </w:rPr>
      </w:pPr>
    </w:p>
    <w:p w14:paraId="24D1FDC8" w14:textId="77777777" w:rsidR="00F46AFE" w:rsidRPr="007840F1" w:rsidRDefault="00F46AFE" w:rsidP="00F46AFE">
      <w:pPr>
        <w:spacing w:after="0" w:line="240" w:lineRule="auto"/>
        <w:rPr>
          <w:rFonts w:eastAsia="Times New Roman" w:cstheme="minorHAnsi"/>
          <w:color w:val="000000"/>
          <w:spacing w:val="6"/>
          <w:sz w:val="24"/>
          <w:szCs w:val="24"/>
        </w:rPr>
      </w:pPr>
    </w:p>
    <w:p w14:paraId="2528CB6D" w14:textId="38ACFE09" w:rsidR="00201436" w:rsidRDefault="00201436" w:rsidP="00F46AFE">
      <w:pPr>
        <w:spacing w:after="0" w:line="240" w:lineRule="auto"/>
        <w:rPr>
          <w:rFonts w:eastAsia="Times New Roman" w:cstheme="minorHAnsi"/>
          <w:color w:val="000000"/>
          <w:spacing w:val="6"/>
          <w:sz w:val="24"/>
          <w:szCs w:val="24"/>
        </w:rPr>
      </w:pPr>
    </w:p>
    <w:p w14:paraId="5F9A7642" w14:textId="43B7BDC2" w:rsidR="006B5B0D" w:rsidRDefault="006B5B0D" w:rsidP="00F46AFE">
      <w:pPr>
        <w:spacing w:after="0" w:line="240" w:lineRule="auto"/>
        <w:rPr>
          <w:rFonts w:eastAsia="Times New Roman" w:cstheme="minorHAnsi"/>
          <w:color w:val="000000"/>
          <w:spacing w:val="6"/>
          <w:sz w:val="24"/>
          <w:szCs w:val="24"/>
        </w:rPr>
      </w:pPr>
    </w:p>
    <w:p w14:paraId="7AF79802" w14:textId="078F9172" w:rsidR="006B5B0D" w:rsidRDefault="006B5B0D" w:rsidP="00F46AFE">
      <w:pPr>
        <w:spacing w:after="0" w:line="240" w:lineRule="auto"/>
        <w:rPr>
          <w:rFonts w:eastAsia="Times New Roman" w:cstheme="minorHAnsi"/>
          <w:color w:val="000000"/>
          <w:spacing w:val="6"/>
          <w:sz w:val="24"/>
          <w:szCs w:val="24"/>
        </w:rPr>
      </w:pPr>
    </w:p>
    <w:p w14:paraId="29CB7AB0" w14:textId="7E2E7538" w:rsidR="006B5B0D" w:rsidRDefault="006B5B0D" w:rsidP="00F46AFE">
      <w:pPr>
        <w:spacing w:after="0" w:line="240" w:lineRule="auto"/>
        <w:rPr>
          <w:rFonts w:eastAsia="Times New Roman" w:cstheme="minorHAnsi"/>
          <w:color w:val="000000"/>
          <w:spacing w:val="6"/>
          <w:sz w:val="24"/>
          <w:szCs w:val="24"/>
        </w:rPr>
      </w:pPr>
    </w:p>
    <w:p w14:paraId="5753E9E4" w14:textId="77777777" w:rsidR="006B5B0D" w:rsidRPr="007840F1" w:rsidRDefault="006B5B0D" w:rsidP="00F46AFE">
      <w:pPr>
        <w:spacing w:after="0" w:line="240" w:lineRule="auto"/>
        <w:rPr>
          <w:rFonts w:eastAsia="Times New Roman" w:cstheme="minorHAnsi"/>
          <w:color w:val="000000"/>
          <w:spacing w:val="6"/>
          <w:sz w:val="24"/>
          <w:szCs w:val="24"/>
        </w:rPr>
      </w:pPr>
    </w:p>
    <w:p w14:paraId="0556A161" w14:textId="77777777" w:rsidR="00201436" w:rsidRPr="007840F1" w:rsidRDefault="00201436" w:rsidP="00F46AFE">
      <w:pPr>
        <w:spacing w:after="0" w:line="240" w:lineRule="auto"/>
        <w:rPr>
          <w:rFonts w:eastAsia="Times New Roman" w:cstheme="minorHAnsi"/>
          <w:color w:val="000000"/>
          <w:spacing w:val="6"/>
          <w:sz w:val="24"/>
          <w:szCs w:val="24"/>
        </w:rPr>
      </w:pPr>
    </w:p>
    <w:p w14:paraId="421EA6F0" w14:textId="77777777" w:rsidR="00201436" w:rsidRPr="007840F1" w:rsidRDefault="00201436" w:rsidP="00F46AFE">
      <w:pPr>
        <w:spacing w:after="0" w:line="240" w:lineRule="auto"/>
        <w:rPr>
          <w:rFonts w:eastAsia="Times New Roman" w:cstheme="minorHAnsi"/>
          <w:color w:val="000000"/>
          <w:spacing w:val="6"/>
          <w:sz w:val="24"/>
          <w:szCs w:val="24"/>
        </w:rPr>
      </w:pPr>
    </w:p>
    <w:p w14:paraId="3C0185E7" w14:textId="77777777" w:rsidR="005E3243" w:rsidRPr="007840F1" w:rsidRDefault="005E3243" w:rsidP="00201436">
      <w:pPr>
        <w:spacing w:after="0" w:line="240" w:lineRule="auto"/>
        <w:jc w:val="center"/>
        <w:rPr>
          <w:rFonts w:eastAsia="Calibri" w:cstheme="minorHAnsi"/>
          <w:b/>
          <w:sz w:val="24"/>
          <w:szCs w:val="24"/>
          <w:lang w:val="en-GB"/>
        </w:rPr>
      </w:pPr>
    </w:p>
    <w:p w14:paraId="3CF5AEC7" w14:textId="4470F205" w:rsidR="00201436" w:rsidRPr="007840F1" w:rsidRDefault="00201436" w:rsidP="00201436">
      <w:pPr>
        <w:spacing w:after="0" w:line="240" w:lineRule="auto"/>
        <w:jc w:val="center"/>
        <w:rPr>
          <w:rFonts w:eastAsia="Calibri" w:cstheme="minorHAnsi"/>
          <w:b/>
          <w:sz w:val="24"/>
          <w:szCs w:val="24"/>
          <w:lang w:val="en-GB"/>
        </w:rPr>
      </w:pPr>
      <w:r w:rsidRPr="007840F1">
        <w:rPr>
          <w:rFonts w:eastAsia="Calibri" w:cstheme="minorHAnsi"/>
          <w:b/>
          <w:sz w:val="24"/>
          <w:szCs w:val="24"/>
          <w:lang w:val="en-GB"/>
        </w:rPr>
        <w:t>ENDORSEMENTS</w:t>
      </w:r>
    </w:p>
    <w:p w14:paraId="10C6E155" w14:textId="38BF317A" w:rsidR="00201436" w:rsidRPr="007840F1" w:rsidRDefault="00201436" w:rsidP="00201436">
      <w:pPr>
        <w:spacing w:after="0" w:line="240" w:lineRule="auto"/>
        <w:jc w:val="center"/>
        <w:rPr>
          <w:rFonts w:eastAsia="Calibri" w:cstheme="minorHAnsi"/>
          <w:b/>
          <w:sz w:val="24"/>
          <w:szCs w:val="24"/>
          <w:lang w:val="en-GB"/>
        </w:rPr>
      </w:pPr>
    </w:p>
    <w:p w14:paraId="19D9E69F" w14:textId="44EB49DB" w:rsidR="00201436" w:rsidRPr="007840F1" w:rsidRDefault="007B3965" w:rsidP="00201436">
      <w:pPr>
        <w:spacing w:after="0" w:line="240" w:lineRule="auto"/>
        <w:jc w:val="center"/>
        <w:rPr>
          <w:rFonts w:eastAsia="Calibri" w:cstheme="minorHAnsi"/>
          <w:b/>
          <w:sz w:val="24"/>
          <w:szCs w:val="24"/>
          <w:lang w:val="en-GB"/>
        </w:rPr>
      </w:pPr>
      <w:r>
        <w:rPr>
          <w:rFonts w:eastAsia="Calibri" w:cstheme="minorHAnsi"/>
          <w:b/>
          <w:sz w:val="24"/>
          <w:szCs w:val="24"/>
          <w:lang w:val="en-GB"/>
        </w:rPr>
        <w:t xml:space="preserve">The following industry associations were consulted in the drafting of this letter and Terms of Reference. </w:t>
      </w:r>
    </w:p>
    <w:p w14:paraId="0F95562B" w14:textId="77777777" w:rsidR="00201436" w:rsidRPr="007840F1" w:rsidRDefault="00201436" w:rsidP="00F46AFE">
      <w:pPr>
        <w:spacing w:after="0" w:line="240" w:lineRule="auto"/>
        <w:rPr>
          <w:rFonts w:eastAsia="Times New Roman" w:cstheme="minorHAnsi"/>
          <w:color w:val="000000"/>
          <w:spacing w:val="6"/>
          <w:sz w:val="24"/>
          <w:szCs w:val="24"/>
        </w:rPr>
      </w:pPr>
    </w:p>
    <w:p w14:paraId="590C161A" w14:textId="77777777" w:rsidR="00201436" w:rsidRPr="007840F1" w:rsidRDefault="00201436" w:rsidP="00F46AFE">
      <w:pPr>
        <w:spacing w:after="0" w:line="240" w:lineRule="auto"/>
        <w:rPr>
          <w:rFonts w:eastAsia="Times New Roman" w:cstheme="minorHAnsi"/>
          <w:color w:val="000000"/>
          <w:spacing w:val="6"/>
          <w:sz w:val="24"/>
          <w:szCs w:val="24"/>
        </w:rPr>
      </w:pPr>
    </w:p>
    <w:p w14:paraId="404E1821"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 xml:space="preserve">Accord Australasia </w:t>
      </w:r>
    </w:p>
    <w:p w14:paraId="0F0083D5" w14:textId="221FF6B0" w:rsidR="00C60B65" w:rsidRDefault="00C60B65" w:rsidP="00C60B65">
      <w:pPr>
        <w:spacing w:after="0" w:line="240" w:lineRule="auto"/>
        <w:rPr>
          <w:rFonts w:eastAsia="Times New Roman" w:cstheme="minorHAnsi"/>
          <w:color w:val="000000"/>
          <w:spacing w:val="6"/>
          <w:sz w:val="24"/>
          <w:szCs w:val="24"/>
        </w:rPr>
      </w:pPr>
      <w:proofErr w:type="spellStart"/>
      <w:r w:rsidRPr="00C60B65">
        <w:rPr>
          <w:rFonts w:eastAsia="Times New Roman" w:cstheme="minorHAnsi"/>
          <w:color w:val="000000"/>
          <w:spacing w:val="6"/>
          <w:sz w:val="24"/>
          <w:szCs w:val="24"/>
        </w:rPr>
        <w:t>Austmine</w:t>
      </w:r>
      <w:proofErr w:type="spellEnd"/>
    </w:p>
    <w:p w14:paraId="3F4774DC" w14:textId="6E2EEC0F" w:rsidR="00526ECE" w:rsidRPr="00C60B65" w:rsidRDefault="00526ECE" w:rsidP="00C60B65">
      <w:pPr>
        <w:spacing w:after="0" w:line="240" w:lineRule="auto"/>
        <w:rPr>
          <w:rFonts w:eastAsia="Times New Roman" w:cstheme="minorHAnsi"/>
          <w:color w:val="000000"/>
          <w:spacing w:val="6"/>
          <w:sz w:val="24"/>
          <w:szCs w:val="24"/>
        </w:rPr>
      </w:pPr>
      <w:r w:rsidRPr="00526ECE">
        <w:rPr>
          <w:rFonts w:eastAsia="Times New Roman" w:cstheme="minorHAnsi"/>
          <w:color w:val="000000"/>
          <w:spacing w:val="6"/>
          <w:sz w:val="24"/>
          <w:szCs w:val="24"/>
        </w:rPr>
        <w:t>Australasian Steel Ass</w:t>
      </w:r>
      <w:r>
        <w:rPr>
          <w:rFonts w:eastAsia="Times New Roman" w:cstheme="minorHAnsi"/>
          <w:color w:val="000000"/>
          <w:spacing w:val="6"/>
          <w:sz w:val="24"/>
          <w:szCs w:val="24"/>
        </w:rPr>
        <w:t>ociation</w:t>
      </w:r>
    </w:p>
    <w:p w14:paraId="21CE2DB1"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Chamber of Commerce and Industry (ACCI)</w:t>
      </w:r>
    </w:p>
    <w:p w14:paraId="7DBB9253"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Cotton Shippers Association (ACSA)</w:t>
      </w:r>
    </w:p>
    <w:p w14:paraId="1FE96EBE" w14:textId="36A1ACC2" w:rsid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Council of Wool Exporters and Processors</w:t>
      </w:r>
    </w:p>
    <w:p w14:paraId="736D5654" w14:textId="267D8334" w:rsidR="003E7296" w:rsidRPr="00C60B65" w:rsidRDefault="003E7296" w:rsidP="00C60B65">
      <w:pPr>
        <w:spacing w:after="0" w:line="240" w:lineRule="auto"/>
        <w:rPr>
          <w:rFonts w:eastAsia="Times New Roman" w:cstheme="minorHAnsi"/>
          <w:color w:val="000000"/>
          <w:spacing w:val="6"/>
          <w:sz w:val="24"/>
          <w:szCs w:val="24"/>
        </w:rPr>
      </w:pPr>
      <w:r>
        <w:rPr>
          <w:rFonts w:eastAsia="Times New Roman" w:cstheme="minorHAnsi"/>
          <w:color w:val="000000"/>
          <w:spacing w:val="6"/>
          <w:sz w:val="24"/>
          <w:szCs w:val="24"/>
        </w:rPr>
        <w:t>Australian Flower Traders Association</w:t>
      </w:r>
    </w:p>
    <w:p w14:paraId="594A3AC6"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Food and Grocery Council (AFGC)</w:t>
      </w:r>
    </w:p>
    <w:p w14:paraId="0FBDB046"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Home Heating Association (AHHA)</w:t>
      </w:r>
    </w:p>
    <w:p w14:paraId="7B2027F2"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Industry Group (Ai Group)</w:t>
      </w:r>
    </w:p>
    <w:p w14:paraId="1BA969CD"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Meat Industry Council (AMIC)</w:t>
      </w:r>
    </w:p>
    <w:p w14:paraId="4D4C8CC0" w14:textId="7E3BBFDF" w:rsid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Nut Industry Council Ltd (ANIC)</w:t>
      </w:r>
    </w:p>
    <w:p w14:paraId="553CD016" w14:textId="2B853F68" w:rsidR="009F6954" w:rsidRPr="00C60B65" w:rsidRDefault="009F6954" w:rsidP="00C60B65">
      <w:pPr>
        <w:spacing w:after="0" w:line="240" w:lineRule="auto"/>
        <w:rPr>
          <w:rFonts w:eastAsia="Times New Roman" w:cstheme="minorHAnsi"/>
          <w:color w:val="000000"/>
          <w:spacing w:val="6"/>
          <w:sz w:val="24"/>
          <w:szCs w:val="24"/>
        </w:rPr>
      </w:pPr>
      <w:r w:rsidRPr="009F6954">
        <w:rPr>
          <w:rFonts w:eastAsia="Times New Roman" w:cstheme="minorHAnsi"/>
          <w:color w:val="000000"/>
          <w:spacing w:val="6"/>
          <w:sz w:val="24"/>
          <w:szCs w:val="24"/>
        </w:rPr>
        <w:t>Australian Paint Manufacturers’ Federation</w:t>
      </w:r>
      <w:r w:rsidR="00412F49">
        <w:rPr>
          <w:rFonts w:eastAsia="Times New Roman" w:cstheme="minorHAnsi"/>
          <w:color w:val="000000"/>
          <w:spacing w:val="6"/>
          <w:sz w:val="24"/>
          <w:szCs w:val="24"/>
        </w:rPr>
        <w:t xml:space="preserve"> (APMF)</w:t>
      </w:r>
    </w:p>
    <w:p w14:paraId="0CC09332"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Australian Peak Shippers Association (APSA)</w:t>
      </w:r>
    </w:p>
    <w:p w14:paraId="52DB98CA" w14:textId="0769F5FB" w:rsid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Chemistry Australia</w:t>
      </w:r>
    </w:p>
    <w:p w14:paraId="070E4048" w14:textId="318B7C69" w:rsidR="00344501" w:rsidRPr="00C60B65" w:rsidRDefault="00344501" w:rsidP="00C60B65">
      <w:pPr>
        <w:spacing w:after="0" w:line="240" w:lineRule="auto"/>
        <w:rPr>
          <w:rFonts w:eastAsia="Times New Roman" w:cstheme="minorHAnsi"/>
          <w:color w:val="000000"/>
          <w:spacing w:val="6"/>
          <w:sz w:val="24"/>
          <w:szCs w:val="24"/>
        </w:rPr>
      </w:pPr>
      <w:r w:rsidRPr="00344501">
        <w:rPr>
          <w:rFonts w:eastAsia="Times New Roman" w:cstheme="minorHAnsi"/>
          <w:color w:val="000000"/>
          <w:spacing w:val="6"/>
          <w:sz w:val="24"/>
          <w:szCs w:val="24"/>
        </w:rPr>
        <w:t>Citrus Australia Ltd</w:t>
      </w:r>
    </w:p>
    <w:p w14:paraId="4D815CFE"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Council of Small Business Organisations Australia (COSBA)</w:t>
      </w:r>
    </w:p>
    <w:p w14:paraId="76D94D6B"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Export Council of Australia (ECA)</w:t>
      </w:r>
    </w:p>
    <w:p w14:paraId="097BF736"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Food and Beverage Importers Association (FBIA)</w:t>
      </w:r>
    </w:p>
    <w:p w14:paraId="73C79779"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Freight and Trade Alliance (FTA)</w:t>
      </w:r>
    </w:p>
    <w:p w14:paraId="4B0AFA63"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Grain Trade Australia (GTA)</w:t>
      </w:r>
    </w:p>
    <w:p w14:paraId="7F34847F"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Housing Industry Australia (HIA)</w:t>
      </w:r>
    </w:p>
    <w:p w14:paraId="1CCC08DB"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Medical Technology Association of Australia (MTAA)</w:t>
      </w:r>
    </w:p>
    <w:p w14:paraId="5A7C71D4"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 xml:space="preserve">Medicines Australia   </w:t>
      </w:r>
    </w:p>
    <w:p w14:paraId="7327BBA9"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National Farmers Federation (NFF)</w:t>
      </w:r>
    </w:p>
    <w:p w14:paraId="565746F1"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Omni Cotton Australia</w:t>
      </w:r>
    </w:p>
    <w:p w14:paraId="6D4971D3"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Outdoor Power Equipment Association (OPEA)</w:t>
      </w:r>
    </w:p>
    <w:p w14:paraId="35A0A988"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Pathology Technology Australia (PTA)</w:t>
      </w:r>
    </w:p>
    <w:p w14:paraId="6F94A63D"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Pet Food Industry Association of Australia (PFIAA)</w:t>
      </w:r>
    </w:p>
    <w:p w14:paraId="34BA5837" w14:textId="77777777" w:rsidR="00C60B65" w:rsidRPr="00C60B65" w:rsidRDefault="00C60B65" w:rsidP="00C60B65">
      <w:pPr>
        <w:spacing w:after="0" w:line="240" w:lineRule="auto"/>
        <w:rPr>
          <w:rFonts w:eastAsia="Times New Roman" w:cstheme="minorHAnsi"/>
          <w:color w:val="000000"/>
          <w:spacing w:val="6"/>
          <w:sz w:val="24"/>
          <w:szCs w:val="24"/>
        </w:rPr>
      </w:pPr>
      <w:r w:rsidRPr="00C60B65">
        <w:rPr>
          <w:rFonts w:eastAsia="Times New Roman" w:cstheme="minorHAnsi"/>
          <w:color w:val="000000"/>
          <w:spacing w:val="6"/>
          <w:sz w:val="24"/>
          <w:szCs w:val="24"/>
        </w:rPr>
        <w:t>The Australasian Institute of Mining and Metallurgy</w:t>
      </w:r>
    </w:p>
    <w:p w14:paraId="312D9E0F" w14:textId="77777777" w:rsidR="00201436" w:rsidRPr="007840F1" w:rsidRDefault="00201436" w:rsidP="00F46AFE">
      <w:pPr>
        <w:spacing w:after="0" w:line="240" w:lineRule="auto"/>
        <w:rPr>
          <w:rFonts w:eastAsia="Times New Roman" w:cstheme="minorHAnsi"/>
          <w:color w:val="000000"/>
          <w:spacing w:val="6"/>
          <w:sz w:val="24"/>
          <w:szCs w:val="24"/>
        </w:rPr>
      </w:pPr>
    </w:p>
    <w:sectPr w:rsidR="00201436" w:rsidRPr="00784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F9E"/>
    <w:multiLevelType w:val="hybridMultilevel"/>
    <w:tmpl w:val="2C4A5E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DDE3C17"/>
    <w:multiLevelType w:val="hybridMultilevel"/>
    <w:tmpl w:val="0B366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9E20A9"/>
    <w:multiLevelType w:val="hybridMultilevel"/>
    <w:tmpl w:val="F2AEA2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B8F383D"/>
    <w:multiLevelType w:val="multilevel"/>
    <w:tmpl w:val="7334F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79"/>
    <w:rsid w:val="00016C79"/>
    <w:rsid w:val="00035500"/>
    <w:rsid w:val="000704FD"/>
    <w:rsid w:val="000D4186"/>
    <w:rsid w:val="000F3AED"/>
    <w:rsid w:val="00151560"/>
    <w:rsid w:val="001A3722"/>
    <w:rsid w:val="001B7020"/>
    <w:rsid w:val="00201436"/>
    <w:rsid w:val="00211738"/>
    <w:rsid w:val="00243BC1"/>
    <w:rsid w:val="002543EE"/>
    <w:rsid w:val="002725B6"/>
    <w:rsid w:val="00284042"/>
    <w:rsid w:val="002F4E8E"/>
    <w:rsid w:val="003406A3"/>
    <w:rsid w:val="00344501"/>
    <w:rsid w:val="00354642"/>
    <w:rsid w:val="003C1913"/>
    <w:rsid w:val="003E7296"/>
    <w:rsid w:val="00412F49"/>
    <w:rsid w:val="0041640A"/>
    <w:rsid w:val="004205FD"/>
    <w:rsid w:val="00427565"/>
    <w:rsid w:val="004348EF"/>
    <w:rsid w:val="004C27EA"/>
    <w:rsid w:val="004E3848"/>
    <w:rsid w:val="00521256"/>
    <w:rsid w:val="00526ECE"/>
    <w:rsid w:val="005C7278"/>
    <w:rsid w:val="005E3243"/>
    <w:rsid w:val="006411DA"/>
    <w:rsid w:val="006B28F4"/>
    <w:rsid w:val="006B5B0D"/>
    <w:rsid w:val="00756977"/>
    <w:rsid w:val="00757A91"/>
    <w:rsid w:val="007714DF"/>
    <w:rsid w:val="00780962"/>
    <w:rsid w:val="00781DBC"/>
    <w:rsid w:val="007840F1"/>
    <w:rsid w:val="007B3965"/>
    <w:rsid w:val="007E643F"/>
    <w:rsid w:val="00834120"/>
    <w:rsid w:val="00865EEC"/>
    <w:rsid w:val="008D5A5B"/>
    <w:rsid w:val="00901160"/>
    <w:rsid w:val="00973477"/>
    <w:rsid w:val="009D1E66"/>
    <w:rsid w:val="009D3B30"/>
    <w:rsid w:val="009F6954"/>
    <w:rsid w:val="00A40489"/>
    <w:rsid w:val="00A40D27"/>
    <w:rsid w:val="00A45140"/>
    <w:rsid w:val="00A63454"/>
    <w:rsid w:val="00A658D9"/>
    <w:rsid w:val="00AB60F3"/>
    <w:rsid w:val="00AF3538"/>
    <w:rsid w:val="00B76EAA"/>
    <w:rsid w:val="00BE177C"/>
    <w:rsid w:val="00C44FE3"/>
    <w:rsid w:val="00C47CB6"/>
    <w:rsid w:val="00C60B65"/>
    <w:rsid w:val="00C91766"/>
    <w:rsid w:val="00CA7C45"/>
    <w:rsid w:val="00CB10B9"/>
    <w:rsid w:val="00CB3ADA"/>
    <w:rsid w:val="00CB6CD5"/>
    <w:rsid w:val="00CC0476"/>
    <w:rsid w:val="00CF5CA5"/>
    <w:rsid w:val="00D1662A"/>
    <w:rsid w:val="00D329CC"/>
    <w:rsid w:val="00D64283"/>
    <w:rsid w:val="00DB2A46"/>
    <w:rsid w:val="00E15744"/>
    <w:rsid w:val="00E70C5D"/>
    <w:rsid w:val="00EA10F5"/>
    <w:rsid w:val="00EB07FF"/>
    <w:rsid w:val="00EC2A26"/>
    <w:rsid w:val="00F338B9"/>
    <w:rsid w:val="00F46AFE"/>
    <w:rsid w:val="00F82973"/>
    <w:rsid w:val="00FA3D0D"/>
    <w:rsid w:val="00FF5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75AB"/>
  <w15:chartTrackingRefBased/>
  <w15:docId w15:val="{A0953A64-E3F6-4EAD-B6E0-99F980FD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6CD5"/>
    <w:rPr>
      <w:b/>
      <w:bCs/>
    </w:rPr>
  </w:style>
  <w:style w:type="paragraph" w:styleId="ListParagraph">
    <w:name w:val="List Paragraph"/>
    <w:basedOn w:val="Normal"/>
    <w:uiPriority w:val="34"/>
    <w:qFormat/>
    <w:rsid w:val="005E3243"/>
    <w:pPr>
      <w:ind w:left="720"/>
      <w:contextualSpacing/>
    </w:pPr>
  </w:style>
  <w:style w:type="character" w:styleId="CommentReference">
    <w:name w:val="annotation reference"/>
    <w:basedOn w:val="DefaultParagraphFont"/>
    <w:uiPriority w:val="99"/>
    <w:semiHidden/>
    <w:unhideWhenUsed/>
    <w:rsid w:val="00FA3D0D"/>
    <w:rPr>
      <w:sz w:val="16"/>
      <w:szCs w:val="16"/>
    </w:rPr>
  </w:style>
  <w:style w:type="paragraph" w:styleId="CommentText">
    <w:name w:val="annotation text"/>
    <w:basedOn w:val="Normal"/>
    <w:link w:val="CommentTextChar"/>
    <w:uiPriority w:val="99"/>
    <w:semiHidden/>
    <w:unhideWhenUsed/>
    <w:rsid w:val="00FA3D0D"/>
    <w:pPr>
      <w:spacing w:line="240" w:lineRule="auto"/>
    </w:pPr>
    <w:rPr>
      <w:sz w:val="20"/>
      <w:szCs w:val="20"/>
    </w:rPr>
  </w:style>
  <w:style w:type="character" w:customStyle="1" w:styleId="CommentTextChar">
    <w:name w:val="Comment Text Char"/>
    <w:basedOn w:val="DefaultParagraphFont"/>
    <w:link w:val="CommentText"/>
    <w:uiPriority w:val="99"/>
    <w:semiHidden/>
    <w:rsid w:val="00FA3D0D"/>
    <w:rPr>
      <w:sz w:val="20"/>
      <w:szCs w:val="20"/>
    </w:rPr>
  </w:style>
  <w:style w:type="paragraph" w:styleId="CommentSubject">
    <w:name w:val="annotation subject"/>
    <w:basedOn w:val="CommentText"/>
    <w:next w:val="CommentText"/>
    <w:link w:val="CommentSubjectChar"/>
    <w:uiPriority w:val="99"/>
    <w:semiHidden/>
    <w:unhideWhenUsed/>
    <w:rsid w:val="00FA3D0D"/>
    <w:rPr>
      <w:b/>
      <w:bCs/>
    </w:rPr>
  </w:style>
  <w:style w:type="character" w:customStyle="1" w:styleId="CommentSubjectChar">
    <w:name w:val="Comment Subject Char"/>
    <w:basedOn w:val="CommentTextChar"/>
    <w:link w:val="CommentSubject"/>
    <w:uiPriority w:val="99"/>
    <w:semiHidden/>
    <w:rsid w:val="00FA3D0D"/>
    <w:rPr>
      <w:b/>
      <w:bCs/>
      <w:sz w:val="20"/>
      <w:szCs w:val="20"/>
    </w:rPr>
  </w:style>
  <w:style w:type="character" w:styleId="Hyperlink">
    <w:name w:val="Hyperlink"/>
    <w:basedOn w:val="DefaultParagraphFont"/>
    <w:uiPriority w:val="99"/>
    <w:unhideWhenUsed/>
    <w:rsid w:val="00DB2A46"/>
    <w:rPr>
      <w:color w:val="0563C1" w:themeColor="hyperlink"/>
      <w:u w:val="single"/>
    </w:rPr>
  </w:style>
  <w:style w:type="character" w:styleId="UnresolvedMention">
    <w:name w:val="Unresolved Mention"/>
    <w:basedOn w:val="DefaultParagraphFont"/>
    <w:uiPriority w:val="99"/>
    <w:semiHidden/>
    <w:unhideWhenUsed/>
    <w:rsid w:val="00DB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227">
      <w:bodyDiv w:val="1"/>
      <w:marLeft w:val="0"/>
      <w:marRight w:val="0"/>
      <w:marTop w:val="0"/>
      <w:marBottom w:val="0"/>
      <w:divBdr>
        <w:top w:val="none" w:sz="0" w:space="0" w:color="auto"/>
        <w:left w:val="none" w:sz="0" w:space="0" w:color="auto"/>
        <w:bottom w:val="none" w:sz="0" w:space="0" w:color="auto"/>
        <w:right w:val="none" w:sz="0" w:space="0" w:color="auto"/>
      </w:divBdr>
    </w:div>
    <w:div w:id="836455193">
      <w:bodyDiv w:val="1"/>
      <w:marLeft w:val="0"/>
      <w:marRight w:val="0"/>
      <w:marTop w:val="0"/>
      <w:marBottom w:val="0"/>
      <w:divBdr>
        <w:top w:val="none" w:sz="0" w:space="0" w:color="auto"/>
        <w:left w:val="none" w:sz="0" w:space="0" w:color="auto"/>
        <w:bottom w:val="none" w:sz="0" w:space="0" w:color="auto"/>
        <w:right w:val="none" w:sz="0" w:space="0" w:color="auto"/>
      </w:divBdr>
    </w:div>
    <w:div w:id="992372337">
      <w:bodyDiv w:val="1"/>
      <w:marLeft w:val="0"/>
      <w:marRight w:val="0"/>
      <w:marTop w:val="0"/>
      <w:marBottom w:val="0"/>
      <w:divBdr>
        <w:top w:val="none" w:sz="0" w:space="0" w:color="auto"/>
        <w:left w:val="none" w:sz="0" w:space="0" w:color="auto"/>
        <w:bottom w:val="none" w:sz="0" w:space="0" w:color="auto"/>
        <w:right w:val="none" w:sz="0" w:space="0" w:color="auto"/>
      </w:divBdr>
    </w:div>
    <w:div w:id="17177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se.mcgrath@aigrou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Tipping</dc:creator>
  <cp:keywords/>
  <dc:description/>
  <cp:lastModifiedBy>Dean Whiting</cp:lastModifiedBy>
  <cp:revision>2</cp:revision>
  <dcterms:created xsi:type="dcterms:W3CDTF">2021-11-07T22:22:00Z</dcterms:created>
  <dcterms:modified xsi:type="dcterms:W3CDTF">2021-11-07T22:22:00Z</dcterms:modified>
</cp:coreProperties>
</file>